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ОБРАЗОВАНИЕ   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«ТЫМСКОЕ СЕЛЬСКОЕ ПОСЕЛЕНИЕ»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КАРГАСОКСКИЙ РАЙОН ТОМСКАЯ ОБЛАСТЬ</w:t>
      </w:r>
      <w:r/>
    </w:p>
    <w:p>
      <w:pPr>
        <w:jc w:val="center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КАЗЕННОЕ УЧРЕЖДЕНИЕ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ТЫМСКОГО СЕЛЬСКОГО ПОСЕЛЕНИЯ</w:t>
      </w:r>
      <w:r/>
    </w:p>
    <w:p>
      <w:pPr>
        <w:jc w:val="center"/>
        <w:spacing w:line="254" w:lineRule="auto"/>
        <w:widowControl w:val="off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</w:r>
      <w:r/>
    </w:p>
    <w:p>
      <w:pPr>
        <w:jc w:val="center"/>
        <w:spacing w:line="254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ПОСТАНОВЛЕНИЕ</w:t>
      </w:r>
      <w:r/>
    </w:p>
    <w:p>
      <w:pPr>
        <w:jc w:val="center"/>
      </w:pPr>
      <w:r>
        <w:rPr>
          <w:rFonts w:eastAsiaTheme="minorHAnsi"/>
          <w:color w:val="ff0000"/>
        </w:rPr>
        <w:t xml:space="preserve">          (в редакции постановления </w:t>
      </w:r>
      <w:r>
        <w:rPr>
          <w:rFonts w:eastAsiaTheme="minorHAnsi"/>
          <w:color w:val="ff0000"/>
        </w:rPr>
        <w:t xml:space="preserve"> от 25.05.2021 № 20</w:t>
      </w:r>
      <w:r>
        <w:rPr>
          <w:rFonts w:eastAsiaTheme="minorHAnsi"/>
          <w:color w:val="ff0000"/>
        </w:rPr>
        <w:t xml:space="preserve">)</w:t>
      </w:r>
      <w:r/>
    </w:p>
    <w:p>
      <w:pPr>
        <w:jc w:val="center"/>
        <w:spacing w:line="254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</w:r>
      <w:r/>
    </w:p>
    <w:p>
      <w:pPr>
        <w:spacing w:line="254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27.05.2020                                                                                                              № 30</w:t>
      </w:r>
      <w:r/>
    </w:p>
    <w:p>
      <w:pPr>
        <w:ind w:right="-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>
        <w:rPr>
          <w:sz w:val="26"/>
          <w:szCs w:val="26"/>
        </w:rPr>
        <w:t xml:space="preserve">Тымск</w:t>
      </w:r>
      <w:r/>
    </w:p>
    <w:p>
      <w:pPr>
        <w:ind w:right="-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определении Порядка принятия </w:t>
      </w:r>
      <w:r/>
    </w:p>
    <w:p>
      <w:pPr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решений  о признании </w:t>
      </w:r>
      <w:r>
        <w:rPr>
          <w:b/>
          <w:sz w:val="26"/>
          <w:szCs w:val="26"/>
        </w:rPr>
        <w:t xml:space="preserve">безнадежной</w:t>
      </w:r>
      <w:r>
        <w:rPr>
          <w:b/>
          <w:sz w:val="26"/>
          <w:szCs w:val="26"/>
        </w:rPr>
        <w:t xml:space="preserve"> </w:t>
      </w:r>
      <w:r/>
    </w:p>
    <w:p>
      <w:pPr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 взысканию   задолженности      </w:t>
      </w:r>
      <w:r>
        <w:rPr>
          <w:b/>
          <w:sz w:val="26"/>
          <w:szCs w:val="26"/>
        </w:rPr>
        <w:t xml:space="preserve">по</w:t>
      </w:r>
      <w:r>
        <w:rPr>
          <w:b/>
          <w:sz w:val="26"/>
          <w:szCs w:val="26"/>
        </w:rPr>
        <w:t xml:space="preserve"> </w:t>
      </w:r>
      <w:r/>
    </w:p>
    <w:p>
      <w:pPr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платежам              в                  бюджет  </w:t>
      </w:r>
      <w:r/>
    </w:p>
    <w:p>
      <w:pPr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           образования </w:t>
      </w:r>
      <w:r/>
    </w:p>
    <w:p>
      <w:pPr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Тымское</w:t>
      </w:r>
      <w:r>
        <w:rPr>
          <w:b/>
          <w:sz w:val="26"/>
          <w:szCs w:val="26"/>
        </w:rPr>
        <w:t xml:space="preserve">     сельское       поселение»</w:t>
      </w:r>
      <w:r/>
    </w:p>
    <w:p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47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 Бюджетного кодекса</w:t>
      </w:r>
      <w:r>
        <w:rPr>
          <w:sz w:val="26"/>
          <w:szCs w:val="26"/>
        </w:rPr>
        <w:t xml:space="preserve"> Российской Федерации, постановлением Правительства Российской Федерации 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/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ПОСТАНОВЛЯЮ:</w:t>
      </w:r>
      <w:r/>
    </w:p>
    <w:p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851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1. Определить </w:t>
      </w:r>
      <w:r>
        <w:rPr>
          <w:iCs/>
          <w:sz w:val="26"/>
          <w:szCs w:val="26"/>
        </w:rPr>
        <w:t xml:space="preserve">Порядок принятия решений о признании безнадежной к взысканию задолженности по платежам в бюджет  муниципального образования «</w:t>
      </w:r>
      <w:r>
        <w:rPr>
          <w:iCs/>
          <w:sz w:val="26"/>
          <w:szCs w:val="26"/>
        </w:rPr>
        <w:t xml:space="preserve">Тымское</w:t>
      </w:r>
      <w:r>
        <w:rPr>
          <w:iCs/>
          <w:sz w:val="26"/>
          <w:szCs w:val="26"/>
        </w:rPr>
        <w:t xml:space="preserve"> сельское поселение», согласно приложению № 1 к настоящему постановлению.</w:t>
      </w:r>
      <w:r/>
    </w:p>
    <w:p>
      <w:pPr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Утвердить состав комиссии по поступлению и выбытию активов бюджета муниципального образования «</w:t>
      </w:r>
      <w:r>
        <w:rPr>
          <w:iCs/>
          <w:sz w:val="26"/>
          <w:szCs w:val="26"/>
        </w:rPr>
        <w:t xml:space="preserve">Тымское</w:t>
      </w:r>
      <w:r>
        <w:rPr>
          <w:iCs/>
          <w:sz w:val="26"/>
          <w:szCs w:val="26"/>
        </w:rPr>
        <w:t xml:space="preserve"> сельское поселение», согласно приложению № 2 к настоящему постановлению.</w:t>
      </w:r>
      <w:r/>
    </w:p>
    <w:p>
      <w:pPr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 Признать утратившим силу постановление Администрации Тымского сельского поселения от 16.08.2016 № 42 «Об утверждении</w:t>
      </w: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Порядка   принятия решений о признании безнадежной к взысканию задолженности по платежам в бюджет».</w:t>
      </w:r>
      <w:r/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со дня официального обнародования  в  порядке, установленном Уставом муниципального образования «</w:t>
      </w:r>
      <w:r>
        <w:rPr>
          <w:sz w:val="26"/>
          <w:szCs w:val="26"/>
        </w:rPr>
        <w:t xml:space="preserve">Тымское</w:t>
      </w:r>
      <w:r>
        <w:rPr>
          <w:sz w:val="26"/>
          <w:szCs w:val="26"/>
        </w:rPr>
        <w:t xml:space="preserve"> сельское поселение»</w:t>
      </w:r>
      <w:r>
        <w:rPr>
          <w:i/>
          <w:sz w:val="26"/>
          <w:szCs w:val="26"/>
        </w:rPr>
        <w:t xml:space="preserve">.</w:t>
      </w:r>
      <w:r/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исполнением настоящего постановления возложить на главного бухгалтера администрации Тымского сельского поселения О.А. </w:t>
      </w:r>
      <w:r>
        <w:rPr>
          <w:sz w:val="26"/>
          <w:szCs w:val="26"/>
        </w:rPr>
        <w:t xml:space="preserve">Гаус</w:t>
      </w:r>
      <w:r>
        <w:rPr>
          <w:sz w:val="26"/>
          <w:szCs w:val="26"/>
        </w:rPr>
        <w:t xml:space="preserve">.</w:t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contextualSpacing/>
        <w:ind w:left="690" w:hanging="69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</w:t>
      </w:r>
      <w:r/>
    </w:p>
    <w:p>
      <w:pPr>
        <w:contextualSpacing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Тымского сельского поселения                                                      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К.Ф. Важенин</w:t>
      </w:r>
      <w:r/>
    </w:p>
    <w:p>
      <w:pPr>
        <w:pStyle w:val="684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84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84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84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84"/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84"/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1</w:t>
      </w:r>
      <w:r/>
    </w:p>
    <w:p>
      <w:pPr>
        <w:pStyle w:val="684"/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</w:t>
      </w:r>
      <w:bookmarkStart w:id="2" w:name="P30"/>
      <w:r/>
      <w:bookmarkEnd w:id="2"/>
      <w:r>
        <w:rPr>
          <w:sz w:val="22"/>
          <w:szCs w:val="22"/>
        </w:rPr>
        <w:t xml:space="preserve"> Администрации </w:t>
      </w:r>
      <w:r/>
    </w:p>
    <w:p>
      <w:pPr>
        <w:pStyle w:val="684"/>
        <w:ind w:left="5954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Тымского сельского поселения</w:t>
      </w:r>
      <w:r/>
    </w:p>
    <w:p>
      <w:pPr>
        <w:pStyle w:val="684"/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27.05.</w:t>
      </w:r>
      <w:r>
        <w:rPr>
          <w:sz w:val="22"/>
          <w:szCs w:val="22"/>
        </w:rPr>
        <w:t xml:space="preserve">2020  </w:t>
      </w:r>
      <w:r>
        <w:rPr>
          <w:sz w:val="22"/>
          <w:szCs w:val="22"/>
        </w:rPr>
        <w:t xml:space="preserve">№ 30</w:t>
      </w:r>
      <w:r/>
    </w:p>
    <w:p>
      <w:pPr>
        <w:pStyle w:val="684"/>
        <w:ind w:left="5954"/>
        <w:jc w:val="both"/>
        <w:rPr>
          <w:i/>
        </w:rPr>
      </w:pPr>
      <w:r>
        <w:rPr>
          <w:i/>
        </w:rPr>
      </w:r>
      <w:r/>
    </w:p>
    <w:p>
      <w:pPr>
        <w:pStyle w:val="6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/>
    </w:p>
    <w:p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принятия решений о признании безнадежной к взысканию задолженности по платежам в бюджет  муниципального образования «</w:t>
      </w:r>
      <w:r>
        <w:rPr>
          <w:b/>
          <w:sz w:val="26"/>
          <w:szCs w:val="26"/>
        </w:rPr>
        <w:t xml:space="preserve">Тымское</w:t>
      </w:r>
      <w:r>
        <w:rPr>
          <w:b/>
          <w:sz w:val="26"/>
          <w:szCs w:val="26"/>
        </w:rPr>
        <w:t xml:space="preserve"> сельское поселение»</w:t>
      </w:r>
      <w:r/>
    </w:p>
    <w:p>
      <w:pPr>
        <w:pStyle w:val="685"/>
        <w:jc w:val="center"/>
        <w:rPr>
          <w:rFonts w:ascii="Times New Roman" w:hAnsi="Times New Roman" w:eastAsia="Calibri" w:cs="Times New Roman"/>
          <w:bCs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bCs/>
          <w:sz w:val="26"/>
          <w:szCs w:val="26"/>
          <w:lang w:eastAsia="en-US"/>
        </w:rPr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Настоящий Порядок устанавливает: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случаи признания безнадежной к взысканию задолженности по платежам в бюджет</w:t>
      </w:r>
      <w:r>
        <w:rPr>
          <w:iCs/>
          <w:sz w:val="26"/>
          <w:szCs w:val="26"/>
        </w:rPr>
        <w:t xml:space="preserve"> муниципального образования «</w:t>
      </w:r>
      <w:r>
        <w:rPr>
          <w:iCs/>
          <w:sz w:val="26"/>
          <w:szCs w:val="26"/>
        </w:rPr>
        <w:t xml:space="preserve">Тымское</w:t>
      </w:r>
      <w:r>
        <w:rPr>
          <w:iCs/>
          <w:sz w:val="26"/>
          <w:szCs w:val="26"/>
        </w:rPr>
        <w:t xml:space="preserve"> сельское поселение»</w:t>
      </w: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(далее – местный бюджет)</w:t>
      </w:r>
      <w:r>
        <w:rPr>
          <w:rFonts w:eastAsia="Calibri"/>
          <w:sz w:val="26"/>
          <w:szCs w:val="26"/>
        </w:rPr>
        <w:t xml:space="preserve">, главным администратором которых является администрация  Тымского сельского поселения в соответствии с уставом муниципального образования «</w:t>
      </w:r>
      <w:r>
        <w:rPr>
          <w:rFonts w:eastAsia="Calibri"/>
          <w:sz w:val="26"/>
          <w:szCs w:val="26"/>
        </w:rPr>
        <w:t xml:space="preserve">Тымское</w:t>
      </w:r>
      <w:r>
        <w:rPr>
          <w:rFonts w:eastAsia="Calibri"/>
          <w:sz w:val="26"/>
          <w:szCs w:val="26"/>
        </w:rPr>
        <w:t xml:space="preserve"> сельское поселение» (далее – администрация), за исключением платежей, предусмотренных в пункте 6 </w:t>
      </w:r>
      <w:r>
        <w:rPr>
          <w:sz w:val="26"/>
          <w:szCs w:val="26"/>
        </w:rPr>
        <w:t xml:space="preserve">статьи 47</w:t>
      </w:r>
      <w:r>
        <w:rPr>
          <w:sz w:val="26"/>
          <w:szCs w:val="26"/>
          <w:vertAlign w:val="superscript"/>
        </w:rPr>
        <w:t xml:space="preserve">2</w:t>
      </w:r>
      <w:r>
        <w:rPr>
          <w:sz w:val="26"/>
          <w:szCs w:val="26"/>
        </w:rPr>
        <w:t xml:space="preserve"> Бюджетного кодекса Российской Федерации;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3) порядок действий комиссии по поступлению и выбытию активов при  подготовке решений о признании безнадежной к взысканию задолженности по платежам в местный бюджет </w:t>
      </w:r>
      <w:r>
        <w:rPr>
          <w:bCs/>
          <w:sz w:val="26"/>
          <w:szCs w:val="26"/>
        </w:rPr>
        <w:t xml:space="preserve">(далее – Комиссия)</w:t>
      </w:r>
      <w:r>
        <w:rPr>
          <w:rFonts w:eastAsia="Calibri"/>
          <w:sz w:val="26"/>
          <w:szCs w:val="26"/>
        </w:rPr>
        <w:t xml:space="preserve">, а также сроки подготовки таких решений.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2) признания банкротом индивидуального предпринимат</w:t>
      </w:r>
      <w:r>
        <w:rPr>
          <w:rFonts w:eastAsia="Calibri"/>
          <w:sz w:val="26"/>
          <w:szCs w:val="26"/>
        </w:rPr>
        <w:t xml:space="preserve">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3) признания банкротом гражданина, не являющегося индивидуальным предпринимателем, в соо</w:t>
      </w:r>
      <w:r>
        <w:rPr>
          <w:rFonts w:eastAsia="Calibri"/>
          <w:sz w:val="26"/>
          <w:szCs w:val="26"/>
        </w:rPr>
        <w:t xml:space="preserve">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4) ликвидации организации - плательщика платежей в местный бюджет в части задолженности по</w:t>
      </w:r>
      <w:r>
        <w:rPr>
          <w:rFonts w:eastAsia="Calibri"/>
          <w:sz w:val="26"/>
          <w:szCs w:val="26"/>
        </w:rPr>
        <w:t xml:space="preserve">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 утрачивает возможность взыскания задолженности по платежам в местный бюджет;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</w:t>
      </w:r>
      <w:r>
        <w:rPr>
          <w:rFonts w:eastAsia="Calibri"/>
          <w:sz w:val="26"/>
          <w:szCs w:val="26"/>
        </w:rPr>
        <w:t xml:space="preserve">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судом возвраще</w:t>
      </w:r>
      <w:r>
        <w:rPr>
          <w:rFonts w:eastAsia="Calibri"/>
          <w:sz w:val="26"/>
          <w:szCs w:val="26"/>
        </w:rPr>
        <w:t xml:space="preserve">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r>
        <w:rPr>
          <w:rFonts w:eastAsia="Calibri"/>
          <w:sz w:val="26"/>
          <w:szCs w:val="26"/>
        </w:rPr>
        <w:t xml:space="preserve">наличия</w:t>
      </w:r>
      <w:r>
        <w:rPr>
          <w:rFonts w:eastAsia="Calibri"/>
          <w:sz w:val="26"/>
          <w:szCs w:val="26"/>
        </w:rPr>
        <w:t xml:space="preserve"> ранее вынесенного судебным приставом-исполнителем постановл</w:t>
      </w:r>
      <w:r>
        <w:rPr>
          <w:rFonts w:eastAsia="Calibri"/>
          <w:sz w:val="26"/>
          <w:szCs w:val="26"/>
        </w:rPr>
        <w:t xml:space="preserve">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</w:t>
      </w:r>
      <w:r>
        <w:rPr>
          <w:rFonts w:eastAsia="Calibri"/>
          <w:sz w:val="26"/>
          <w:szCs w:val="26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r>
        <w:rPr>
          <w:rFonts w:eastAsia="Calibri"/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</w:t>
      </w:r>
      <w:r>
        <w:rPr>
          <w:rFonts w:eastAsia="Calibri"/>
          <w:sz w:val="26"/>
          <w:szCs w:val="26"/>
        </w:rPr>
        <w:t xml:space="preserve">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8) вынесения судьей, органом, должнос</w:t>
      </w:r>
      <w:r>
        <w:rPr>
          <w:rFonts w:eastAsia="Calibri"/>
          <w:sz w:val="26"/>
          <w:szCs w:val="26"/>
        </w:rPr>
        <w:t xml:space="preserve">тным лицом, в случаях, предусмотренных Кодексом Российской Федерации об административных правонарушениях, 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Документами, подтверждающими наличие оснований для принятия решений о признании безнадежной к взысканию задолженности по платежам в местный  бюджет, являются:</w:t>
      </w:r>
      <w:r>
        <w:rPr>
          <w:rFonts w:eastAsia="Calibri"/>
          <w:sz w:val="26"/>
          <w:szCs w:val="26"/>
        </w:rPr>
        <w:t xml:space="preserve"> 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вып</w:t>
      </w:r>
      <w:r>
        <w:rPr>
          <w:rFonts w:eastAsia="Calibri"/>
          <w:sz w:val="26"/>
          <w:szCs w:val="26"/>
        </w:rPr>
        <w:t xml:space="preserve">иска из отчетности администрации</w:t>
      </w:r>
      <w:r>
        <w:rPr>
          <w:rFonts w:eastAsia="Calibri"/>
          <w:sz w:val="26"/>
          <w:szCs w:val="26"/>
        </w:rPr>
        <w:t xml:space="preserve"> об учитываемых суммах задолженности по уплате платежей в местный бюджет;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2) справка администрации</w:t>
      </w:r>
      <w:r>
        <w:rPr>
          <w:rFonts w:eastAsia="Calibri"/>
          <w:sz w:val="26"/>
          <w:szCs w:val="26"/>
        </w:rPr>
        <w:t xml:space="preserve"> о принятых мерах по обеспечению взыскания задолженности по платежам в местный бюджет;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3) документы, подтверждающие случаи признания безнадежной к взысканию задолженности по платежам в местный бюджет: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4) документ, </w:t>
      </w:r>
      <w:r>
        <w:rPr>
          <w:rFonts w:eastAsia="Calibri"/>
          <w:sz w:val="26"/>
          <w:szCs w:val="26"/>
        </w:rPr>
        <w:t xml:space="preserve">свидете</w:t>
      </w:r>
      <w:r>
        <w:rPr>
          <w:rFonts w:eastAsia="Calibri"/>
          <w:sz w:val="26"/>
          <w:szCs w:val="26"/>
        </w:rPr>
        <w:t xml:space="preserve">льствующий</w:t>
      </w:r>
      <w:r>
        <w:rPr>
          <w:rFonts w:eastAsia="Calibri"/>
          <w:sz w:val="26"/>
          <w:szCs w:val="26"/>
        </w:rPr>
        <w:t xml:space="preserve"> о смерти физического лица</w:t>
      </w:r>
      <w:r>
        <w:rPr>
          <w:rFonts w:eastAsia="Calibri"/>
          <w:sz w:val="26"/>
          <w:szCs w:val="26"/>
        </w:rPr>
        <w:t xml:space="preserve"> – плательщика платежей в бюджет</w:t>
      </w:r>
      <w:r>
        <w:rPr>
          <w:rFonts w:eastAsia="Calibri"/>
          <w:sz w:val="26"/>
          <w:szCs w:val="26"/>
        </w:rPr>
        <w:t xml:space="preserve"> или </w:t>
      </w:r>
      <w:r>
        <w:rPr>
          <w:rFonts w:eastAsia="Calibri"/>
          <w:sz w:val="26"/>
          <w:szCs w:val="26"/>
        </w:rPr>
        <w:t xml:space="preserve">подтверждающий факт объявления его </w:t>
      </w:r>
      <w:r>
        <w:rPr>
          <w:rFonts w:eastAsia="Calibri"/>
          <w:sz w:val="26"/>
          <w:szCs w:val="26"/>
        </w:rPr>
        <w:t xml:space="preserve">умершим;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5) судебный акт</w:t>
      </w:r>
      <w:r>
        <w:rPr>
          <w:rFonts w:eastAsia="Calibri"/>
          <w:sz w:val="26"/>
          <w:szCs w:val="26"/>
        </w:rPr>
        <w:t xml:space="preserve">  о</w:t>
      </w:r>
      <w:r>
        <w:rPr>
          <w:rFonts w:eastAsia="Calibri"/>
          <w:sz w:val="26"/>
          <w:szCs w:val="26"/>
        </w:rPr>
        <w:t xml:space="preserve"> завершении конкурсного производства или завершения реализации имущества гражданина – плательщика платежей в местный бюджет, являвшегося индивидуальным предпринимателем, а так же документ, содержащий </w:t>
      </w:r>
      <w:r>
        <w:rPr>
          <w:rFonts w:eastAsia="Calibri"/>
          <w:sz w:val="26"/>
          <w:szCs w:val="26"/>
        </w:rPr>
        <w:t xml:space="preserve">сведения из Единого государ</w:t>
      </w:r>
      <w:r>
        <w:rPr>
          <w:rFonts w:eastAsia="Calibri"/>
          <w:sz w:val="26"/>
          <w:szCs w:val="26"/>
        </w:rPr>
        <w:t xml:space="preserve">ственного реестра индивидуальных предпринимателей о прекращении физическим лицом –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</w:t>
      </w:r>
      <w:r>
        <w:rPr>
          <w:rFonts w:eastAsia="Calibri"/>
          <w:sz w:val="26"/>
          <w:szCs w:val="26"/>
        </w:rPr>
        <w:t xml:space="preserve">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6) судебный акт</w:t>
      </w:r>
      <w:r>
        <w:rPr>
          <w:rFonts w:eastAsia="Calibri"/>
          <w:sz w:val="26"/>
          <w:szCs w:val="26"/>
        </w:rPr>
        <w:t xml:space="preserve">  о</w:t>
      </w:r>
      <w:r>
        <w:rPr>
          <w:rFonts w:eastAsia="Calibri"/>
          <w:sz w:val="26"/>
          <w:szCs w:val="26"/>
        </w:rPr>
        <w:t xml:space="preserve"> завершении конкурсного производства или завершения реализации имущества гражданина – плательщика платежей в местный бюджет;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7)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8) документ, содержащий сведения </w:t>
      </w:r>
      <w:r>
        <w:rPr>
          <w:rFonts w:eastAsia="Calibri"/>
          <w:sz w:val="26"/>
          <w:szCs w:val="26"/>
        </w:rPr>
        <w:t xml:space="preserve">из Единого государств</w:t>
      </w:r>
      <w:r>
        <w:rPr>
          <w:rFonts w:eastAsia="Calibri"/>
          <w:sz w:val="26"/>
          <w:szCs w:val="26"/>
        </w:rPr>
        <w:t xml:space="preserve">енного реестра юридических лиц об исключении</w:t>
      </w:r>
      <w:r>
        <w:rPr>
          <w:rFonts w:eastAsia="Calibri"/>
          <w:sz w:val="26"/>
          <w:szCs w:val="26"/>
        </w:rPr>
        <w:t xml:space="preserve"> юридического лица</w:t>
      </w:r>
      <w:r>
        <w:rPr>
          <w:rFonts w:eastAsia="Calibri"/>
          <w:sz w:val="26"/>
          <w:szCs w:val="26"/>
        </w:rPr>
        <w:t xml:space="preserve"> - 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плательщика платежей в местный бюджет</w:t>
      </w:r>
      <w:r>
        <w:rPr>
          <w:rFonts w:eastAsia="Calibri"/>
          <w:sz w:val="26"/>
          <w:szCs w:val="26"/>
        </w:rPr>
        <w:t xml:space="preserve"> из </w:t>
      </w:r>
      <w:r>
        <w:rPr>
          <w:rFonts w:eastAsia="Calibri"/>
          <w:sz w:val="26"/>
          <w:szCs w:val="26"/>
        </w:rPr>
        <w:t xml:space="preserve">указанного </w:t>
      </w:r>
      <w:r>
        <w:rPr>
          <w:rFonts w:eastAsia="Calibri"/>
          <w:sz w:val="26"/>
          <w:szCs w:val="26"/>
        </w:rPr>
        <w:t xml:space="preserve">реестра по решению регистрирующего органа; </w:t>
      </w:r>
      <w:r/>
    </w:p>
    <w:p>
      <w:pPr>
        <w:pStyle w:val="688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9) акт об амнистии или о помиловании  в  отношении осужденных к наказанию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виде</w:t>
      </w:r>
      <w:r>
        <w:rPr>
          <w:sz w:val="26"/>
          <w:szCs w:val="26"/>
        </w:rPr>
        <w:t xml:space="preserve"> штрафа или судебный акт, в соответствии с которым администратор доходов бюджета утрачивает возможность взыскания задолженности по платежам  в местный бюджет;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10) постановление судебного пристава</w:t>
      </w:r>
      <w:r>
        <w:rPr>
          <w:sz w:val="26"/>
          <w:szCs w:val="26"/>
        </w:rPr>
        <w:t xml:space="preserve">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производстве»;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расходов, применяемых в деле о банкротстве;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12) постановление о прекращении исполнения постановления о назначении административного наказания.</w:t>
      </w:r>
      <w:r/>
    </w:p>
    <w:p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Подготовка решений о признании безнадежной к взысканию задолженности осуществляется Комиссией, созданной администрацией на постоянной  основе. 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 Комиссия осуществляет свою деятельность в форме проведения заседаний.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Заседание Комиссии считается правомочным, если на нем присутствует не менее половины членов Комиссии.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Заседания Комиссии проводятся в срок не позднее пяти рабочих дней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со дня поступления председателю Комиссии документов, предусмотренных пунктом 3 настоящего Порядка.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главный бухгалтер администрации Тымского сельского поселения. 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 По результатам рассмотрения документов, указанных в пункте 3 настоящего Порядка, Комиссия принимает одно из следующих решений: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решение о признании безнадежной к взысканию задолженности по платежам в местный бюджет;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2) решение о невозможности признания безнадежной к взысканию задолженности по платежам в местный бюджет.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7. Решение о невозможност</w:t>
      </w:r>
      <w:r>
        <w:rPr>
          <w:rFonts w:eastAsia="Calibri"/>
          <w:sz w:val="26"/>
          <w:szCs w:val="26"/>
        </w:rPr>
        <w:t xml:space="preserve">и признания безнадежной к взысканию задолженности принимается в случае, если поступившие председателю Комиссии документы не подтверждают наличие оснований для принятия решений о признании безнадежной к взысканию задолженности по платежам в местный  бюджет.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8. Решение о признании безнадежной к взысканию задолженности по платежам в местный бюджет оформляется актом, содержащим следующую информацию: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полное наименование организации (фамилия, имя и при наличии отчество физического лица);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3) сведения о платеже, по которому возникла задолженность;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5) сумма задолженности по платежам в местный бюджет;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6) сумма задолженности по пеням и штрафам по соответствующим платежам в местный бюджет;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7) дата принятия решения о признании безнадежной к взысканию задолженности по платежам в местный  бюджет;</w:t>
      </w:r>
      <w:r/>
    </w:p>
    <w:p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8) подписи членов комиссии.</w:t>
      </w:r>
      <w:r/>
    </w:p>
    <w:p>
      <w:pPr>
        <w:ind w:firstLine="851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9. Акт о признании безнадежной к взысканию задолженности по платежам в местный бюджет утверждается Главой Тымского сельского поселения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не позднее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трёх  рабочих дней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со дня его оформления. 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rPr>
          <w:rFonts w:eastAsia="Calibri"/>
        </w:rPr>
      </w:pPr>
      <w:r>
        <w:rPr>
          <w:rFonts w:eastAsia="Calibri"/>
        </w:rPr>
      </w:r>
      <w:r/>
    </w:p>
    <w:p>
      <w:pPr>
        <w:pStyle w:val="684"/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2</w:t>
      </w:r>
      <w:r/>
    </w:p>
    <w:p>
      <w:pPr>
        <w:pStyle w:val="684"/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r/>
    </w:p>
    <w:p>
      <w:pPr>
        <w:pStyle w:val="684"/>
        <w:ind w:left="5954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Тымского сельского поселения</w:t>
      </w:r>
      <w:r/>
    </w:p>
    <w:p>
      <w:pPr>
        <w:pStyle w:val="684"/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27.05.</w:t>
      </w:r>
      <w:r>
        <w:rPr>
          <w:sz w:val="22"/>
          <w:szCs w:val="22"/>
        </w:rPr>
        <w:t xml:space="preserve">2020  </w:t>
      </w:r>
      <w:r>
        <w:rPr>
          <w:sz w:val="22"/>
          <w:szCs w:val="22"/>
        </w:rPr>
        <w:t xml:space="preserve">№ 30</w:t>
      </w:r>
      <w:r/>
    </w:p>
    <w:p>
      <w:pPr>
        <w:pStyle w:val="684"/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84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СОСТАВ</w:t>
      </w:r>
      <w:r/>
    </w:p>
    <w:p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КОМИССИИ ПО ПОСТУПЛЕНИЮ И ВЫБЫТИЮ АКТИВОВ БЮДЖЕТА МУНИЦИПАЛЬНОГО ОБРАЗОВАНИЯ «ТЫМСКОЕ СЕЛЬСКОЕ ПОСЕЛЕНИЕ»</w:t>
      </w:r>
      <w:r/>
    </w:p>
    <w:p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</w:r>
      <w:r/>
    </w:p>
    <w:p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</w:r>
      <w:r/>
    </w:p>
    <w:p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Председатель комиссии:</w:t>
      </w:r>
      <w:r/>
    </w:p>
    <w:p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Слепынина</w:t>
      </w:r>
      <w:r>
        <w:rPr>
          <w:rFonts w:eastAsia="Calibri"/>
          <w:sz w:val="26"/>
          <w:szCs w:val="26"/>
        </w:rPr>
        <w:t xml:space="preserve"> Марина Александровна     -    специалист 1 категории</w:t>
      </w:r>
      <w:r/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Члены комиссии:</w:t>
      </w:r>
      <w:r/>
    </w:p>
    <w:p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Эльшайдт</w:t>
      </w:r>
      <w:r>
        <w:rPr>
          <w:rFonts w:eastAsia="Calibri"/>
          <w:sz w:val="26"/>
          <w:szCs w:val="26"/>
        </w:rPr>
        <w:t xml:space="preserve"> Светлана Валерьевна             -    специалист 1 категории</w:t>
      </w:r>
      <w:r/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Гуммер</w:t>
      </w:r>
      <w:r>
        <w:rPr>
          <w:rFonts w:eastAsia="Calibri"/>
          <w:sz w:val="26"/>
          <w:szCs w:val="26"/>
        </w:rPr>
        <w:t xml:space="preserve"> Наталья Валентиновна               -    бухгалтер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jc w:val="center"/>
    </w:pPr>
    <w:fldSimple w:instr="PAGE \* MERGEFORMAT">
      <w:r>
        <w:t xml:space="preserve">1</w:t>
      </w:r>
    </w:fldSimple>
    <w:r/>
    <w:r/>
  </w:p>
  <w:p>
    <w:pPr>
      <w:pStyle w:val="6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sz w:val="24"/>
      </w:rPr>
    </w:lvl>
    <w:lvl w:ilvl="1">
      <w:start w:val="1"/>
      <w:numFmt w:val="decimal"/>
      <w:isLgl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Calibri" w:hAnsi="Calibri" w:eastAsia="Calibri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2)"/>
      <w:lvlJc w:val="left"/>
      <w:pPr>
        <w:ind w:left="927" w:hanging="360"/>
      </w:pPr>
      <w:rPr>
        <w:rFonts w:ascii="Times New Roman" w:hAnsi="Times New Roman" w:eastAsia="Calibri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9"/>
    <w:link w:val="67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9"/>
    <w:link w:val="677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5"/>
    <w:next w:val="67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5"/>
    <w:next w:val="67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9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9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5"/>
    <w:next w:val="67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5"/>
    <w:next w:val="67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5"/>
    <w:next w:val="67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5"/>
    <w:next w:val="67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5"/>
    <w:next w:val="67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9"/>
    <w:link w:val="34"/>
    <w:uiPriority w:val="10"/>
    <w:rPr>
      <w:sz w:val="48"/>
      <w:szCs w:val="48"/>
    </w:rPr>
  </w:style>
  <w:style w:type="paragraph" w:styleId="36">
    <w:name w:val="Subtitle"/>
    <w:basedOn w:val="675"/>
    <w:next w:val="67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9"/>
    <w:link w:val="36"/>
    <w:uiPriority w:val="11"/>
    <w:rPr>
      <w:sz w:val="24"/>
      <w:szCs w:val="24"/>
    </w:rPr>
  </w:style>
  <w:style w:type="paragraph" w:styleId="38">
    <w:name w:val="Quote"/>
    <w:basedOn w:val="675"/>
    <w:next w:val="67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5"/>
    <w:next w:val="67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9"/>
    <w:link w:val="686"/>
    <w:uiPriority w:val="99"/>
  </w:style>
  <w:style w:type="character" w:styleId="45">
    <w:name w:val="Footer Char"/>
    <w:basedOn w:val="679"/>
    <w:link w:val="707"/>
    <w:uiPriority w:val="99"/>
  </w:style>
  <w:style w:type="paragraph" w:styleId="46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7"/>
    <w:uiPriority w:val="99"/>
  </w:style>
  <w:style w:type="table" w:styleId="49">
    <w:name w:val="Table Grid Light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9"/>
    <w:uiPriority w:val="99"/>
    <w:unhideWhenUsed/>
    <w:rPr>
      <w:vertAlign w:val="superscript"/>
    </w:rPr>
  </w:style>
  <w:style w:type="paragraph" w:styleId="178">
    <w:name w:val="endnote text"/>
    <w:basedOn w:val="67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9"/>
    <w:uiPriority w:val="99"/>
    <w:semiHidden/>
    <w:unhideWhenUsed/>
    <w:rPr>
      <w:vertAlign w:val="superscript"/>
    </w:rPr>
  </w:style>
  <w:style w:type="paragraph" w:styleId="181">
    <w:name w:val="toc 1"/>
    <w:basedOn w:val="675"/>
    <w:next w:val="67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5"/>
    <w:next w:val="67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5"/>
    <w:next w:val="67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5"/>
    <w:next w:val="67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5"/>
    <w:next w:val="67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5"/>
    <w:next w:val="67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5"/>
    <w:next w:val="67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5"/>
    <w:next w:val="67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5"/>
    <w:next w:val="67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6">
    <w:name w:val="Heading 1"/>
    <w:basedOn w:val="675"/>
    <w:next w:val="675"/>
    <w:link w:val="697"/>
    <w:qFormat/>
    <w:pPr>
      <w:jc w:val="center"/>
      <w:keepNext/>
      <w:outlineLvl w:val="0"/>
    </w:pPr>
    <w:rPr>
      <w:b/>
      <w:bCs/>
    </w:rPr>
  </w:style>
  <w:style w:type="paragraph" w:styleId="677">
    <w:name w:val="Heading 2"/>
    <w:basedOn w:val="675"/>
    <w:next w:val="675"/>
    <w:link w:val="698"/>
    <w:qFormat/>
    <w:pPr>
      <w:jc w:val="right"/>
      <w:keepNext/>
      <w:outlineLvl w:val="1"/>
    </w:pPr>
    <w:rPr>
      <w:sz w:val="28"/>
    </w:rPr>
  </w:style>
  <w:style w:type="paragraph" w:styleId="678">
    <w:name w:val="Heading 5"/>
    <w:basedOn w:val="675"/>
    <w:next w:val="675"/>
    <w:link w:val="699"/>
    <w:qFormat/>
    <w:pPr>
      <w:jc w:val="center"/>
      <w:keepNext/>
      <w:outlineLvl w:val="4"/>
    </w:pPr>
    <w:rPr>
      <w:b/>
      <w:bCs/>
      <w:sz w:val="32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paragraph" w:styleId="682">
    <w:name w:val="Body Text"/>
    <w:basedOn w:val="675"/>
    <w:link w:val="683"/>
    <w:unhideWhenUsed/>
    <w:pPr>
      <w:ind w:right="-901"/>
      <w:jc w:val="both"/>
    </w:pPr>
    <w:rPr>
      <w:rFonts w:ascii="Courier New" w:hAnsi="Courier New"/>
      <w:sz w:val="26"/>
      <w:szCs w:val="20"/>
    </w:rPr>
  </w:style>
  <w:style w:type="character" w:styleId="683" w:customStyle="1">
    <w:name w:val="Основной текст Знак"/>
    <w:basedOn w:val="679"/>
    <w:link w:val="682"/>
    <w:rPr>
      <w:rFonts w:ascii="Courier New" w:hAnsi="Courier New" w:eastAsia="Times New Roman" w:cs="Times New Roman"/>
      <w:sz w:val="26"/>
      <w:szCs w:val="20"/>
    </w:rPr>
  </w:style>
  <w:style w:type="paragraph" w:styleId="684" w:customStyle="1">
    <w:name w:val="ConsPlusNormal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5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86">
    <w:name w:val="Header"/>
    <w:basedOn w:val="675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9"/>
    <w:link w:val="68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8">
    <w:name w:val="List Paragraph"/>
    <w:basedOn w:val="675"/>
    <w:uiPriority w:val="34"/>
    <w:qFormat/>
    <w:pPr>
      <w:contextualSpacing/>
      <w:ind w:left="720"/>
    </w:pPr>
  </w:style>
  <w:style w:type="character" w:styleId="689" w:customStyle="1">
    <w:name w:val="Font Style21"/>
    <w:basedOn w:val="679"/>
    <w:uiPriority w:val="99"/>
    <w:rPr>
      <w:rFonts w:ascii="Times New Roman" w:hAnsi="Times New Roman" w:cs="Times New Roman"/>
      <w:sz w:val="22"/>
      <w:szCs w:val="22"/>
    </w:rPr>
  </w:style>
  <w:style w:type="character" w:styleId="690" w:customStyle="1">
    <w:name w:val="Font Style14"/>
    <w:uiPriority w:val="99"/>
    <w:rPr>
      <w:rFonts w:ascii="Times New Roman" w:hAnsi="Times New Roman"/>
      <w:sz w:val="22"/>
    </w:rPr>
  </w:style>
  <w:style w:type="character" w:styleId="691" w:customStyle="1">
    <w:name w:val="Font Style12"/>
    <w:basedOn w:val="679"/>
    <w:uiPriority w:val="99"/>
    <w:rPr>
      <w:rFonts w:ascii="Times New Roman" w:hAnsi="Times New Roman" w:cs="Times New Roman"/>
      <w:sz w:val="26"/>
      <w:szCs w:val="26"/>
    </w:rPr>
  </w:style>
  <w:style w:type="character" w:styleId="692" w:customStyle="1">
    <w:name w:val="Font Style31"/>
    <w:basedOn w:val="679"/>
    <w:uiPriority w:val="99"/>
    <w:rPr>
      <w:rFonts w:ascii="Times New Roman" w:hAnsi="Times New Roman" w:cs="Times New Roman"/>
      <w:sz w:val="22"/>
      <w:szCs w:val="22"/>
    </w:rPr>
  </w:style>
  <w:style w:type="paragraph" w:styleId="693" w:customStyle="1">
    <w:name w:val="Style9"/>
    <w:basedOn w:val="675"/>
    <w:uiPriority w:val="99"/>
    <w:pPr>
      <w:spacing w:line="274" w:lineRule="exact"/>
      <w:widowControl w:val="off"/>
    </w:pPr>
  </w:style>
  <w:style w:type="paragraph" w:styleId="694" w:customStyle="1">
    <w:name w:val="Style16"/>
    <w:basedOn w:val="675"/>
    <w:uiPriority w:val="99"/>
    <w:pPr>
      <w:jc w:val="both"/>
      <w:spacing w:line="275" w:lineRule="exact"/>
      <w:widowControl w:val="off"/>
    </w:pPr>
  </w:style>
  <w:style w:type="paragraph" w:styleId="695" w:customStyle="1">
    <w:name w:val="Style21"/>
    <w:basedOn w:val="675"/>
    <w:uiPriority w:val="99"/>
    <w:pPr>
      <w:widowControl w:val="off"/>
    </w:pPr>
  </w:style>
  <w:style w:type="character" w:styleId="696" w:customStyle="1">
    <w:name w:val="Font Style35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697" w:customStyle="1">
    <w:name w:val="Заголовок 1 Знак"/>
    <w:basedOn w:val="679"/>
    <w:link w:val="676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98" w:customStyle="1">
    <w:name w:val="Заголовок 2 Знак"/>
    <w:basedOn w:val="679"/>
    <w:link w:val="67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99" w:customStyle="1">
    <w:name w:val="Заголовок 5 Знак"/>
    <w:basedOn w:val="679"/>
    <w:link w:val="678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700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01" w:customStyle="1">
    <w:name w:val="ConsPlusCell"/>
    <w:uiPriority w:val="99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table" w:styleId="702">
    <w:name w:val="Table Grid"/>
    <w:basedOn w:val="680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3">
    <w:name w:val="Balloon Text"/>
    <w:basedOn w:val="675"/>
    <w:link w:val="704"/>
    <w:uiPriority w:val="99"/>
    <w:semiHidden/>
    <w:unhideWhenUsed/>
    <w:rPr>
      <w:rFonts w:ascii="Tahoma" w:hAnsi="Tahoma" w:eastAsia="Calibri" w:cs="Tahoma"/>
      <w:sz w:val="16"/>
      <w:szCs w:val="16"/>
      <w:lang w:eastAsia="en-US"/>
    </w:rPr>
  </w:style>
  <w:style w:type="character" w:styleId="704" w:customStyle="1">
    <w:name w:val="Текст выноски Знак"/>
    <w:basedOn w:val="679"/>
    <w:link w:val="703"/>
    <w:uiPriority w:val="99"/>
    <w:semiHidden/>
    <w:rPr>
      <w:rFonts w:ascii="Tahoma" w:hAnsi="Tahoma" w:eastAsia="Calibri" w:cs="Tahoma"/>
      <w:sz w:val="16"/>
      <w:szCs w:val="16"/>
    </w:rPr>
  </w:style>
  <w:style w:type="character" w:styleId="705">
    <w:name w:val="Placeholder Text"/>
    <w:basedOn w:val="679"/>
    <w:uiPriority w:val="99"/>
    <w:semiHidden/>
    <w:rPr>
      <w:color w:val="808080"/>
    </w:rPr>
  </w:style>
  <w:style w:type="character" w:styleId="706">
    <w:name w:val="Hyperlink"/>
    <w:basedOn w:val="679"/>
    <w:unhideWhenUsed/>
    <w:rPr>
      <w:color w:val="0000ff" w:themeColor="hyperlink"/>
      <w:u w:val="single"/>
    </w:rPr>
  </w:style>
  <w:style w:type="paragraph" w:styleId="707">
    <w:name w:val="Footer"/>
    <w:basedOn w:val="675"/>
    <w:link w:val="708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708" w:customStyle="1">
    <w:name w:val="Нижний колонтитул Знак"/>
    <w:basedOn w:val="679"/>
    <w:link w:val="707"/>
    <w:uiPriority w:val="99"/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1170-025B-4929-B5DA-F6EDE228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20</cp:revision>
  <dcterms:created xsi:type="dcterms:W3CDTF">2020-05-26T09:07:00Z</dcterms:created>
  <dcterms:modified xsi:type="dcterms:W3CDTF">2024-02-14T04:10:49Z</dcterms:modified>
</cp:coreProperties>
</file>