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4"/>
        <w:jc w:val="right"/>
        <w:spacing w:before="0" w:beforeAutospacing="0" w:after="360" w:afterAutospacing="0"/>
        <w:shd w:val="clear" w:color="auto" w:fill="ffffff"/>
        <w:rPr>
          <w:rStyle w:val="655"/>
          <w:rFonts w:ascii="PT Astra Serif" w:hAnsi="PT Astra Serif" w:cs="Arial"/>
          <w:b/>
          <w:bCs/>
          <w:color w:val="262626"/>
          <w:sz w:val="22"/>
          <w:szCs w:val="22"/>
        </w:rPr>
      </w:pPr>
      <w:r>
        <w:rPr>
          <w:rFonts w:ascii="PT Astra Serif" w:hAnsi="PT Astra Serif" w:cs="Arial"/>
          <w:b/>
          <w:bCs/>
          <w:color w:val="262626"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pStyle w:val="654"/>
        <w:jc w:val="center"/>
        <w:spacing w:before="0" w:beforeAutospacing="0" w:after="360" w:afterAutospacing="0"/>
        <w:shd w:val="clear" w:color="auto" w:fill="ffffff"/>
        <w:rPr>
          <w:rFonts w:ascii="PT Astra Serif" w:hAnsi="PT Astra Serif" w:cs="Arial"/>
          <w:b/>
          <w:bCs/>
          <w:color w:val="262626"/>
          <w:sz w:val="22"/>
          <w:szCs w:val="22"/>
        </w:rPr>
      </w:pPr>
      <w:r>
        <w:rPr>
          <w:rStyle w:val="655"/>
          <w:rFonts w:ascii="PT Astra Serif" w:hAnsi="PT Astra Serif" w:cs="Arial"/>
          <w:b/>
          <w:bCs/>
          <w:color w:val="262626"/>
          <w:sz w:val="22"/>
          <w:szCs w:val="22"/>
        </w:rPr>
        <w:t xml:space="preserve">Доклад</w:t>
      </w:r>
      <w:r>
        <w:rPr>
          <w:b/>
          <w:bCs/>
          <w:sz w:val="22"/>
          <w:szCs w:val="22"/>
        </w:rPr>
      </w:r>
    </w:p>
    <w:p>
      <w:pPr>
        <w:pStyle w:val="654"/>
        <w:jc w:val="center"/>
        <w:spacing w:before="0" w:beforeAutospacing="0" w:after="0" w:afterAutospacing="0"/>
        <w:shd w:val="clear" w:color="auto" w:fill="ffffff"/>
        <w:rPr>
          <w:rStyle w:val="655"/>
          <w:rFonts w:ascii="PT Astra Serif" w:hAnsi="PT Astra Serif" w:cs="Arial"/>
          <w:b/>
          <w:bCs/>
          <w:color w:val="262626"/>
          <w:sz w:val="22"/>
          <w:szCs w:val="22"/>
        </w:rPr>
      </w:pPr>
      <w:r>
        <w:rPr>
          <w:rStyle w:val="655"/>
          <w:rFonts w:ascii="PT Astra Serif" w:hAnsi="PT Astra Serif" w:cs="Arial"/>
          <w:b/>
          <w:bCs/>
          <w:color w:val="262626"/>
          <w:sz w:val="22"/>
          <w:szCs w:val="22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  <w:r>
        <w:rPr>
          <w:b/>
          <w:bCs/>
          <w:sz w:val="22"/>
          <w:szCs w:val="22"/>
        </w:rPr>
      </w:r>
    </w:p>
    <w:p>
      <w:pPr>
        <w:pStyle w:val="654"/>
        <w:jc w:val="center"/>
        <w:spacing w:before="0" w:beforeAutospacing="0" w:after="0" w:afterAutospacing="0"/>
        <w:shd w:val="clear" w:color="auto" w:fill="ffffff"/>
        <w:rPr>
          <w:rStyle w:val="655"/>
          <w:rFonts w:ascii="PT Astra Serif" w:hAnsi="PT Astra Serif" w:cs="Arial"/>
          <w:b/>
          <w:bCs/>
          <w:color w:val="262626"/>
          <w:sz w:val="22"/>
          <w:szCs w:val="22"/>
        </w:rPr>
      </w:pPr>
      <w:r>
        <w:rPr>
          <w:rStyle w:val="655"/>
          <w:rFonts w:ascii="PT Astra Serif" w:hAnsi="PT Astra Serif" w:cs="Arial"/>
          <w:b/>
          <w:bCs/>
          <w:color w:val="262626"/>
          <w:sz w:val="22"/>
          <w:szCs w:val="22"/>
        </w:rPr>
        <w:t xml:space="preserve">в </w:t>
      </w:r>
      <w:r>
        <w:rPr>
          <w:rStyle w:val="655"/>
          <w:rFonts w:ascii="PT Astra Serif" w:hAnsi="PT Astra Serif" w:cs="Arial"/>
          <w:b/>
          <w:bCs/>
          <w:color w:val="262626"/>
          <w:sz w:val="22"/>
          <w:szCs w:val="22"/>
          <w:u w:val="single"/>
        </w:rPr>
        <w:t xml:space="preserve">МО «</w:t>
      </w:r>
      <w:r>
        <w:rPr>
          <w:rStyle w:val="655"/>
          <w:rFonts w:ascii="PT Astra Serif" w:hAnsi="PT Astra Serif" w:cs="Arial"/>
          <w:b/>
          <w:bCs/>
          <w:color w:val="262626"/>
          <w:sz w:val="22"/>
          <w:szCs w:val="22"/>
          <w:u w:val="single"/>
        </w:rPr>
        <w:t xml:space="preserve">Тымское</w:t>
      </w:r>
      <w:r>
        <w:rPr>
          <w:rStyle w:val="655"/>
          <w:rFonts w:ascii="PT Astra Serif" w:hAnsi="PT Astra Serif" w:cs="Arial"/>
          <w:b/>
          <w:bCs/>
          <w:color w:val="262626"/>
          <w:sz w:val="22"/>
          <w:szCs w:val="22"/>
          <w:u w:val="single"/>
        </w:rPr>
        <w:t xml:space="preserve"> сельское поселение»</w:t>
      </w:r>
      <w:r>
        <w:rPr>
          <w:b/>
          <w:bCs/>
          <w:sz w:val="22"/>
          <w:szCs w:val="22"/>
        </w:rPr>
      </w:r>
    </w:p>
    <w:p>
      <w:pPr>
        <w:pStyle w:val="654"/>
        <w:jc w:val="center"/>
        <w:spacing w:before="0" w:beforeAutospacing="0" w:after="360" w:afterAutospacing="0"/>
        <w:shd w:val="clear" w:color="auto" w:fill="ffffff"/>
        <w:rPr>
          <w:rFonts w:ascii="PT Astra Serif" w:hAnsi="PT Astra Serif" w:cs="Arial"/>
          <w:b/>
          <w:bCs/>
          <w:color w:val="262626"/>
          <w:sz w:val="22"/>
          <w:szCs w:val="22"/>
        </w:rPr>
      </w:pPr>
      <w:r>
        <w:rPr>
          <w:rStyle w:val="655"/>
          <w:rFonts w:ascii="PT Astra Serif" w:hAnsi="PT Astra Serif" w:cs="Arial"/>
          <w:b/>
          <w:bCs/>
          <w:color w:val="262626"/>
          <w:sz w:val="22"/>
          <w:szCs w:val="22"/>
        </w:rPr>
        <w:t xml:space="preserve">за 2023</w:t>
      </w:r>
      <w:r>
        <w:rPr>
          <w:rStyle w:val="655"/>
          <w:rFonts w:ascii="PT Astra Serif" w:hAnsi="PT Astra Serif" w:cs="Arial"/>
          <w:b/>
          <w:bCs/>
          <w:color w:val="262626"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</w:r>
    </w:p>
    <w:p>
      <w:pPr>
        <w:ind w:firstLine="709"/>
        <w:jc w:val="both"/>
        <w:spacing w:before="135" w:after="0" w:line="240" w:lineRule="auto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Общие положения:</w:t>
      </w:r>
      <w:r>
        <w:rPr>
          <w:sz w:val="22"/>
          <w:szCs w:val="22"/>
        </w:rPr>
      </w:r>
    </w:p>
    <w:p>
      <w:pPr>
        <w:jc w:val="both"/>
        <w:spacing w:before="135" w:after="0" w:line="240" w:lineRule="auto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</w:t>
      </w:r>
      <w:r>
        <w:rPr>
          <w:rFonts w:ascii="Times New Roman" w:hAnsi="Times New Roman" w:cs="Times New Roman"/>
          <w:sz w:val="22"/>
          <w:szCs w:val="22"/>
        </w:rPr>
        <w:t xml:space="preserve">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в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Тымского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создана  система внутреннего обеспечения соответствия требованиям антимонопольного законодательства (далее - </w:t>
      </w:r>
      <w:r>
        <w:rPr>
          <w:rFonts w:ascii="Times New Roman" w:hAnsi="Times New Roman" w:cs="Times New Roman"/>
          <w:sz w:val="22"/>
          <w:szCs w:val="22"/>
        </w:rPr>
        <w:t xml:space="preserve">антимонопольный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комплаенс</w:t>
      </w:r>
      <w:r>
        <w:rPr>
          <w:rFonts w:ascii="Times New Roman" w:hAnsi="Times New Roman" w:cs="Times New Roman"/>
          <w:sz w:val="22"/>
          <w:szCs w:val="22"/>
        </w:rPr>
        <w:t xml:space="preserve">).</w:t>
      </w:r>
      <w:r>
        <w:rPr>
          <w:sz w:val="22"/>
          <w:szCs w:val="22"/>
        </w:rPr>
      </w:r>
    </w:p>
    <w:p>
      <w:pPr>
        <w:jc w:val="both"/>
        <w:spacing w:before="135" w:after="0" w:line="240" w:lineRule="auto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Постановление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Тымского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от 04.05.2021 № 9 утверждено Положение об организации в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Тымского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системы внутреннего обеспечения соответств</w:t>
      </w:r>
      <w:r>
        <w:rPr>
          <w:rFonts w:ascii="Times New Roman" w:hAnsi="Times New Roman" w:cs="Times New Roman"/>
          <w:sz w:val="22"/>
          <w:szCs w:val="22"/>
        </w:rPr>
        <w:t xml:space="preserve">ия требованиям антимонопольного </w:t>
      </w:r>
      <w:r>
        <w:rPr>
          <w:rFonts w:ascii="Times New Roman" w:hAnsi="Times New Roman" w:cs="Times New Roman"/>
          <w:sz w:val="22"/>
          <w:szCs w:val="22"/>
        </w:rPr>
        <w:t xml:space="preserve">законодательства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(https://timskoe.ru/category/docs/postanov/2021/page/4/).</w:t>
      </w:r>
      <w:r>
        <w:rPr>
          <w:sz w:val="22"/>
          <w:szCs w:val="22"/>
        </w:rPr>
      </w:r>
    </w:p>
    <w:p>
      <w:pPr>
        <w:jc w:val="both"/>
        <w:spacing w:before="135" w:after="0" w:line="240" w:lineRule="auto"/>
        <w:shd w:val="clear" w:color="auto" w:fill="ffffff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2. </w:t>
      </w:r>
      <w:r>
        <w:rPr>
          <w:rFonts w:ascii="PT Astra Serif" w:hAnsi="PT Astra Serif"/>
          <w:sz w:val="22"/>
          <w:szCs w:val="22"/>
        </w:rPr>
        <w:t xml:space="preserve">Информация о проведенных мероприятиях по реализации </w:t>
      </w:r>
      <w:r>
        <w:rPr>
          <w:rFonts w:ascii="PT Astra Serif" w:hAnsi="PT Astra Serif"/>
          <w:sz w:val="22"/>
          <w:szCs w:val="22"/>
        </w:rPr>
        <w:t xml:space="preserve">антимонопольного</w:t>
      </w:r>
      <w:r>
        <w:rPr>
          <w:rFonts w:ascii="PT Astra Serif" w:hAnsi="PT Astra Serif"/>
          <w:sz w:val="22"/>
          <w:szCs w:val="22"/>
        </w:rPr>
        <w:t xml:space="preserve"> комплаенса:</w:t>
      </w:r>
      <w:r>
        <w:rPr>
          <w:sz w:val="22"/>
          <w:szCs w:val="22"/>
        </w:rPr>
      </w:r>
    </w:p>
    <w:p>
      <w:pPr>
        <w:ind w:firstLine="709"/>
        <w:jc w:val="both"/>
        <w:spacing w:before="135" w:after="0" w:line="240" w:lineRule="auto"/>
        <w:shd w:val="clear" w:color="auto" w:fill="ffffff"/>
        <w:rPr>
          <w:rFonts w:ascii="PT Astra Serif" w:hAnsi="PT Astra Serif"/>
          <w:bCs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2.1.</w:t>
      </w:r>
      <w:r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bCs/>
          <w:sz w:val="22"/>
          <w:szCs w:val="22"/>
        </w:rPr>
        <w:t xml:space="preserve">Анализ выявленных нарушений антимонопольного законодательства </w:t>
      </w:r>
      <w:r>
        <w:rPr>
          <w:rFonts w:ascii="PT Astra Serif" w:hAnsi="PT Astra Serif"/>
          <w:bCs/>
          <w:sz w:val="22"/>
          <w:szCs w:val="22"/>
        </w:rPr>
        <w:t xml:space="preserve">(далее - АМЗ) </w:t>
      </w:r>
      <w:r>
        <w:rPr>
          <w:rFonts w:ascii="PT Astra Serif" w:hAnsi="PT Astra Serif"/>
          <w:bCs/>
          <w:sz w:val="22"/>
          <w:szCs w:val="22"/>
        </w:rPr>
        <w:t xml:space="preserve">в деятельности ОМСУ</w:t>
      </w:r>
      <w:r>
        <w:rPr>
          <w:rFonts w:ascii="PT Astra Serif" w:hAnsi="PT Astra Serif"/>
          <w:bCs/>
          <w:sz w:val="22"/>
          <w:szCs w:val="22"/>
        </w:rPr>
        <w:t xml:space="preserve">:</w:t>
      </w:r>
      <w:r>
        <w:rPr>
          <w:sz w:val="22"/>
          <w:szCs w:val="22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Наличие предостережений, предупреждений, штрафов, жалоб, возбужденных дел в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</w:t>
      </w:r>
      <w:r>
        <w:rPr>
          <w:rFonts w:ascii="Times New Roman" w:hAnsi="Times New Roman" w:cs="Times New Roman"/>
          <w:bCs/>
          <w:sz w:val="22"/>
          <w:szCs w:val="22"/>
        </w:rPr>
        <w:t xml:space="preserve"> в 2023 </w:t>
      </w:r>
      <w:r>
        <w:rPr>
          <w:rFonts w:ascii="Times New Roman" w:hAnsi="Times New Roman" w:cs="Times New Roman"/>
          <w:bCs/>
          <w:sz w:val="22"/>
          <w:szCs w:val="22"/>
        </w:rPr>
        <w:t xml:space="preserve">г. отсутствует:</w:t>
      </w:r>
      <w:r>
        <w:rPr>
          <w:sz w:val="22"/>
          <w:szCs w:val="22"/>
        </w:rPr>
      </w:r>
    </w:p>
    <w:p>
      <w:pPr>
        <w:jc w:val="both"/>
        <w:spacing w:after="0" w:line="240" w:lineRule="auto"/>
        <w:shd w:val="clear" w:color="auto" w:fill="ffffff"/>
        <w:rPr>
          <w:rFonts w:ascii="PT Astra Serif" w:hAnsi="PT Astra Serif"/>
          <w:bCs/>
          <w:i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</w:r>
      <w:r>
        <w:rPr>
          <w:sz w:val="22"/>
          <w:szCs w:val="22"/>
        </w:rPr>
      </w: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693"/>
        <w:gridCol w:w="2126"/>
      </w:tblGrid>
      <w:tr>
        <w:trPr>
          <w:trHeight w:val="1128"/>
        </w:trPr>
        <w:tc>
          <w:tcPr>
            <w:shd w:val="clear" w:color="000000" w:fill="auto"/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Выявленные нарушения АМЗ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000000" w:fill="auto"/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Норма АМЗ, которая была нарушена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000000" w:fill="auto"/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Причина возникновения нарушения АМЗ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000000" w:fill="auto"/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Решение антимонопольного органа, принятое по факту нарушения АМЗ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000000" w:fill="auto"/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Сведения о мерах по устранению нарушения АМЗ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623"/>
        </w:trPr>
        <w:tc>
          <w:tcPr>
            <w:shd w:val="clear" w:color="000000" w:fill="auto"/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000000" w:fill="auto"/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--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000000" w:fill="auto"/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000000" w:fill="auto"/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000000" w:fill="auto"/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</w:tbl>
    <w:p>
      <w:pPr>
        <w:ind w:firstLine="0"/>
        <w:jc w:val="both"/>
        <w:spacing w:before="135" w:after="0" w:line="240" w:lineRule="auto"/>
        <w:shd w:val="clear" w:color="auto" w:fill="ffffff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>
        <w:rPr>
          <w:sz w:val="22"/>
          <w:szCs w:val="22"/>
        </w:rPr>
      </w:r>
    </w:p>
    <w:p>
      <w:pPr>
        <w:ind w:firstLine="709"/>
        <w:jc w:val="both"/>
        <w:spacing w:before="135" w:after="0" w:line="240" w:lineRule="auto"/>
        <w:shd w:val="clear" w:color="auto" w:fill="ffffff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2.2. Анализ действующих нормативных правовых актов</w:t>
      </w:r>
      <w:r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на предмет их соответствия </w:t>
      </w:r>
      <w:r>
        <w:rPr>
          <w:rFonts w:ascii="PT Astra Serif" w:hAnsi="PT Astra Serif"/>
          <w:sz w:val="22"/>
          <w:szCs w:val="22"/>
        </w:rPr>
        <w:t xml:space="preserve">АМЗ</w:t>
      </w:r>
      <w:r>
        <w:rPr>
          <w:rFonts w:ascii="PT Astra Serif" w:hAnsi="PT Astra Serif"/>
          <w:sz w:val="22"/>
          <w:szCs w:val="22"/>
        </w:rPr>
        <w:t xml:space="preserve">:</w:t>
      </w:r>
      <w:r>
        <w:rPr>
          <w:sz w:val="22"/>
          <w:szCs w:val="22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По итогам проведенного анализа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действующих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 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 в действующие НПА администрации. </w:t>
      </w:r>
      <w:r>
        <w:rPr>
          <w:sz w:val="22"/>
          <w:szCs w:val="22"/>
        </w:rPr>
      </w:r>
    </w:p>
    <w:p>
      <w:pPr>
        <w:ind w:firstLine="708"/>
        <w:jc w:val="both"/>
        <w:spacing w:after="0" w:line="240" w:lineRule="auto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</w:rPr>
        <w:t xml:space="preserve">2.3.</w:t>
      </w:r>
      <w:r>
        <w:rPr>
          <w:rFonts w:ascii="Arial" w:hAnsi="Arial" w:cs="Arial"/>
          <w:color w:val="262626"/>
          <w:sz w:val="22"/>
          <w:szCs w:val="22"/>
          <w:shd w:val="clear" w:color="auto" w:fill="ffffff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Анализ проектов нормативных правовых актов на предмет их соответствия </w:t>
      </w:r>
      <w:r>
        <w:rPr>
          <w:rFonts w:ascii="PT Astra Serif" w:hAnsi="PT Astra Serif"/>
          <w:sz w:val="22"/>
          <w:szCs w:val="22"/>
        </w:rPr>
        <w:t xml:space="preserve">АМЗ</w:t>
      </w:r>
      <w:r>
        <w:rPr>
          <w:rFonts w:ascii="PT Astra Serif" w:hAnsi="PT Astra Serif"/>
          <w:bCs/>
          <w:sz w:val="22"/>
          <w:szCs w:val="22"/>
        </w:rPr>
        <w:t xml:space="preserve">:</w:t>
      </w:r>
      <w:r>
        <w:rPr>
          <w:rFonts w:ascii="PT Astra Serif" w:hAnsi="PT Astra Serif"/>
          <w:sz w:val="22"/>
          <w:szCs w:val="22"/>
          <w:u w:val="single"/>
        </w:rPr>
        <w:t xml:space="preserve"> </w:t>
      </w:r>
      <w:r>
        <w:rPr>
          <w:sz w:val="22"/>
          <w:szCs w:val="22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По итогам  проведенного анализа проектов  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изменения. </w:t>
      </w:r>
      <w:r>
        <w:rPr>
          <w:sz w:val="22"/>
          <w:szCs w:val="22"/>
        </w:rPr>
      </w:r>
    </w:p>
    <w:p>
      <w:pPr>
        <w:ind w:firstLine="709"/>
        <w:jc w:val="both"/>
        <w:spacing w:before="135" w:after="0" w:line="240" w:lineRule="auto"/>
        <w:shd w:val="clear" w:color="auto" w:fill="ffffff"/>
        <w:rPr>
          <w:rFonts w:ascii="PT Astra Serif" w:hAnsi="PT Astra Serif"/>
          <w:bCs/>
          <w:sz w:val="22"/>
          <w:szCs w:val="22"/>
        </w:rPr>
      </w:pPr>
      <w:r>
        <w:rPr>
          <w:rFonts w:ascii="PT Astra Serif" w:hAnsi="PT Astra Serif"/>
          <w:bCs/>
          <w:sz w:val="22"/>
          <w:szCs w:val="22"/>
        </w:rPr>
        <w:t xml:space="preserve">2.4. Мониторинг и анализ практики </w:t>
      </w:r>
      <w:r>
        <w:rPr>
          <w:rFonts w:ascii="PT Astra Serif" w:hAnsi="PT Astra Serif"/>
          <w:bCs/>
          <w:sz w:val="22"/>
          <w:szCs w:val="22"/>
        </w:rPr>
        <w:t xml:space="preserve">АМЗ</w:t>
      </w:r>
      <w:r>
        <w:rPr>
          <w:rFonts w:ascii="PT Astra Serif" w:hAnsi="PT Astra Serif"/>
          <w:bCs/>
          <w:sz w:val="22"/>
          <w:szCs w:val="22"/>
        </w:rPr>
        <w:t xml:space="preserve">:</w:t>
      </w:r>
      <w:r>
        <w:rPr>
          <w:sz w:val="22"/>
          <w:szCs w:val="22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Нормативные правовые акты, по которым проведен мониторинг (обзор) правоприменительной практики и сферы ее применения.</w:t>
      </w:r>
      <w:r>
        <w:rPr>
          <w:sz w:val="22"/>
          <w:szCs w:val="22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Проведен обзор судебной практики по вопросам</w:t>
      </w:r>
      <w:r>
        <w:rPr>
          <w:rFonts w:ascii="Times New Roman" w:hAnsi="Times New Roman" w:cs="Times New Roman"/>
          <w:bCs/>
          <w:sz w:val="22"/>
          <w:szCs w:val="22"/>
        </w:rPr>
        <w:t xml:space="preserve">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  <w:r>
        <w:rPr>
          <w:sz w:val="22"/>
          <w:szCs w:val="22"/>
        </w:rPr>
      </w:r>
    </w:p>
    <w:p>
      <w:pPr>
        <w:ind w:firstLine="709"/>
        <w:jc w:val="both"/>
        <w:spacing w:before="135" w:after="0" w:line="240" w:lineRule="auto"/>
        <w:shd w:val="clear" w:color="auto" w:fill="ffffff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Cs/>
          <w:i/>
          <w:sz w:val="22"/>
          <w:szCs w:val="22"/>
        </w:rPr>
        <w:t xml:space="preserve">2.5. </w:t>
      </w:r>
      <w:r>
        <w:rPr>
          <w:rFonts w:ascii="PT Astra Serif" w:hAnsi="PT Astra Serif"/>
          <w:sz w:val="22"/>
          <w:szCs w:val="22"/>
        </w:rPr>
        <w:t xml:space="preserve">Проведение оценки </w:t>
      </w:r>
      <w:r>
        <w:rPr>
          <w:rFonts w:ascii="PT Astra Serif" w:hAnsi="PT Astra Serif"/>
          <w:sz w:val="22"/>
          <w:szCs w:val="22"/>
        </w:rPr>
        <w:t xml:space="preserve">выполнения</w:t>
      </w:r>
      <w:r>
        <w:rPr>
          <w:rFonts w:ascii="PT Astra Serif" w:hAnsi="PT Astra Serif"/>
          <w:sz w:val="22"/>
          <w:szCs w:val="22"/>
        </w:rPr>
        <w:t xml:space="preserve"> мероприятий по снижению рисков нарушения </w:t>
      </w:r>
      <w:r>
        <w:rPr>
          <w:rFonts w:ascii="PT Astra Serif" w:hAnsi="PT Astra Serif"/>
          <w:sz w:val="22"/>
          <w:szCs w:val="22"/>
        </w:rPr>
        <w:t xml:space="preserve">АМЗ</w:t>
      </w:r>
      <w:r>
        <w:rPr>
          <w:rFonts w:ascii="PT Astra Serif" w:hAnsi="PT Astra Serif"/>
          <w:sz w:val="22"/>
          <w:szCs w:val="22"/>
        </w:rPr>
        <w:t xml:space="preserve"> в </w:t>
      </w:r>
      <w:r>
        <w:rPr>
          <w:rFonts w:ascii="PT Astra Serif" w:hAnsi="PT Astra Serif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по форме согласно Приложению 1 к докладу:</w:t>
      </w:r>
      <w:r>
        <w:rPr>
          <w:sz w:val="22"/>
          <w:szCs w:val="22"/>
        </w:rPr>
      </w:r>
    </w:p>
    <w:p>
      <w:pPr>
        <w:ind w:firstLine="709"/>
        <w:jc w:val="both"/>
        <w:spacing w:after="360" w:afterAutospacing="1" w:line="240" w:lineRule="auto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Ознакомление 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служащих с Положением о системе внутреннего обеспечения соответствия требованиям антимонопольного законодательства в Администрации, проведение правовой экспертизы правовых актов, подготовленных специалистами Администрации, участие в обучающих семинарах по </w:t>
      </w:r>
      <w:r>
        <w:rPr>
          <w:rFonts w:ascii="Times New Roman" w:hAnsi="Times New Roman" w:cs="Times New Roman"/>
          <w:sz w:val="22"/>
          <w:szCs w:val="22"/>
        </w:rPr>
        <w:t xml:space="preserve">антимонопольному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комплаенсу</w:t>
      </w:r>
      <w:r>
        <w:rPr>
          <w:rFonts w:ascii="Times New Roman" w:hAnsi="Times New Roman" w:cs="Times New Roman"/>
          <w:sz w:val="22"/>
          <w:szCs w:val="22"/>
        </w:rPr>
        <w:t xml:space="preserve"> и разное.</w:t>
      </w:r>
      <w:r>
        <w:rPr>
          <w:sz w:val="22"/>
          <w:szCs w:val="22"/>
        </w:rPr>
      </w:r>
    </w:p>
    <w:p>
      <w:pPr>
        <w:ind w:firstLine="709"/>
        <w:jc w:val="both"/>
        <w:spacing w:after="360" w:afterAutospacing="1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целях  изучения муниципальными служащими Администрации повторно изучить методические материалы АТК Томской об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ласти и на период  2024-2025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гг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включить в план  обучение муниципальных служащих Администрации по программе повышения квалификации: «Практика внедрения антимонопольного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комплаенса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применения антимонопольного законодательства органами государственной вл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асти и местного самоуправления».</w:t>
      </w:r>
      <w:r>
        <w:rPr>
          <w:sz w:val="22"/>
          <w:szCs w:val="22"/>
        </w:rPr>
      </w:r>
    </w:p>
    <w:p>
      <w:pPr>
        <w:ind w:firstLine="709"/>
        <w:jc w:val="both"/>
        <w:spacing w:before="135" w:after="0" w:line="240" w:lineRule="auto"/>
        <w:shd w:val="clear" w:color="auto" w:fill="ffffff"/>
        <w:rPr>
          <w:rFonts w:ascii="PT Astra Serif" w:hAnsi="PT Astra Serif"/>
          <w:bCs/>
          <w:sz w:val="22"/>
          <w:szCs w:val="22"/>
        </w:rPr>
      </w:pPr>
      <w:r>
        <w:rPr>
          <w:rFonts w:ascii="PT Astra Serif" w:hAnsi="PT Astra Serif"/>
          <w:bCs/>
          <w:sz w:val="22"/>
          <w:szCs w:val="22"/>
        </w:rPr>
        <w:t xml:space="preserve">3. Оценка эффективности функционирования в </w:t>
      </w:r>
      <w:r>
        <w:rPr>
          <w:rFonts w:ascii="PT Astra Serif" w:hAnsi="PT Astra Serif"/>
          <w:bCs/>
          <w:sz w:val="22"/>
          <w:szCs w:val="22"/>
        </w:rPr>
        <w:t xml:space="preserve">ОМСУ</w:t>
      </w:r>
      <w:r>
        <w:rPr>
          <w:rFonts w:ascii="PT Astra Serif" w:hAnsi="PT Astra Serif"/>
          <w:bCs/>
          <w:sz w:val="22"/>
          <w:szCs w:val="22"/>
        </w:rPr>
        <w:t xml:space="preserve"> антимонопольного </w:t>
      </w:r>
      <w:r>
        <w:rPr>
          <w:rFonts w:ascii="PT Astra Serif" w:hAnsi="PT Astra Serif"/>
          <w:bCs/>
          <w:sz w:val="22"/>
          <w:szCs w:val="22"/>
        </w:rPr>
        <w:t xml:space="preserve">комплаенса</w:t>
      </w:r>
      <w:r>
        <w:rPr>
          <w:rFonts w:ascii="PT Astra Serif" w:hAnsi="PT Astra Serif"/>
          <w:bCs/>
          <w:sz w:val="22"/>
          <w:szCs w:val="22"/>
        </w:rPr>
        <w:t xml:space="preserve"> (таблица в приложении</w:t>
      </w:r>
      <w:r>
        <w:rPr>
          <w:rFonts w:ascii="PT Astra Serif" w:hAnsi="PT Astra Serif"/>
          <w:bCs/>
          <w:sz w:val="22"/>
          <w:szCs w:val="22"/>
        </w:rPr>
        <w:t xml:space="preserve"> 2</w:t>
      </w:r>
      <w:r>
        <w:rPr>
          <w:rFonts w:ascii="PT Astra Serif" w:hAnsi="PT Astra Serif"/>
          <w:bCs/>
          <w:sz w:val="22"/>
          <w:szCs w:val="22"/>
        </w:rPr>
        <w:t xml:space="preserve">).</w:t>
      </w:r>
      <w:r>
        <w:rPr>
          <w:sz w:val="22"/>
          <w:szCs w:val="22"/>
        </w:rPr>
      </w:r>
    </w:p>
    <w:p>
      <w:pPr>
        <w:ind w:firstLine="709"/>
        <w:jc w:val="both"/>
        <w:spacing w:before="135" w:after="0" w:line="240" w:lineRule="auto"/>
        <w:shd w:val="clear" w:color="auto" w:fill="ffffff"/>
        <w:rPr>
          <w:rFonts w:ascii="PT Astra Serif" w:hAnsi="PT Astra Serif"/>
          <w:bCs/>
          <w:sz w:val="22"/>
          <w:szCs w:val="22"/>
        </w:rPr>
      </w:pPr>
      <w:r>
        <w:rPr>
          <w:rFonts w:ascii="PT Astra Serif" w:hAnsi="PT Astra Serif"/>
          <w:bCs/>
          <w:sz w:val="22"/>
          <w:szCs w:val="22"/>
        </w:rPr>
        <w:t xml:space="preserve">4. Выводы:</w:t>
      </w:r>
      <w:r>
        <w:rPr>
          <w:sz w:val="22"/>
          <w:szCs w:val="22"/>
        </w:rPr>
      </w:r>
    </w:p>
    <w:p>
      <w:pPr>
        <w:ind w:firstLine="709"/>
        <w:jc w:val="both"/>
        <w:spacing w:before="135" w:after="0" w:line="240" w:lineRule="auto"/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Нарушений АМЗ</w:t>
      </w:r>
      <w:r>
        <w:rPr>
          <w:rFonts w:ascii="Times New Roman" w:hAnsi="Times New Roman" w:cs="Times New Roman"/>
          <w:bCs/>
          <w:sz w:val="22"/>
          <w:szCs w:val="22"/>
        </w:rPr>
        <w:t xml:space="preserve"> со стороны Администрации в 2023</w:t>
      </w:r>
      <w:r>
        <w:rPr>
          <w:rFonts w:ascii="Times New Roman" w:hAnsi="Times New Roman" w:cs="Times New Roman"/>
          <w:bCs/>
          <w:sz w:val="22"/>
          <w:szCs w:val="22"/>
        </w:rPr>
        <w:t xml:space="preserve"> году не выявлено. </w:t>
      </w:r>
      <w:r>
        <w:rPr>
          <w:sz w:val="22"/>
          <w:szCs w:val="22"/>
        </w:rPr>
      </w:r>
    </w:p>
    <w:p>
      <w:pPr>
        <w:pStyle w:val="665"/>
        <w:jc w:val="both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Система внутреннего обеспечения соответствия требованиям антимонопольного законодательства в Администрации внедрена успешно.</w:t>
      </w:r>
      <w:r>
        <w:rPr>
          <w:sz w:val="22"/>
          <w:szCs w:val="22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Принятые нормативные правовые акты размещены на  официальном сайте Администрации сельского поселения.</w:t>
      </w:r>
      <w:r>
        <w:rPr>
          <w:sz w:val="22"/>
          <w:szCs w:val="22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Урегулировано взаимодействие муниципальных служащих и работников Администрации по вопросам развития и совершенствования антимонопольного </w:t>
      </w:r>
      <w:r>
        <w:rPr>
          <w:rFonts w:ascii="Times New Roman" w:hAnsi="Times New Roman" w:cs="Times New Roman"/>
          <w:sz w:val="22"/>
          <w:szCs w:val="22"/>
        </w:rPr>
        <w:t xml:space="preserve">комплаенса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>
        <w:rPr>
          <w:sz w:val="22"/>
          <w:szCs w:val="22"/>
        </w:rPr>
      </w:r>
    </w:p>
    <w:p>
      <w:pPr>
        <w:rPr>
          <w:rFonts w:ascii="PT Astra Serif" w:hAnsi="PT Astra Serif"/>
          <w:bCs/>
          <w:sz w:val="22"/>
          <w:szCs w:val="22"/>
        </w:rPr>
        <w:sectPr>
          <w:footnotePr/>
          <w:endnotePr/>
          <w:type w:val="nextPage"/>
          <w:pgSz w:w="11906" w:h="16838" w:orient="portrait"/>
          <w:pgMar w:top="709" w:right="566" w:bottom="284" w:left="1134" w:header="0" w:footer="0" w:gutter="0"/>
          <w:cols w:num="1" w:sep="0" w:space="708" w:equalWidth="1"/>
          <w:docGrid w:linePitch="360"/>
        </w:sectPr>
      </w:pPr>
      <w:r>
        <w:rPr>
          <w:rFonts w:ascii="PT Astra Serif" w:hAnsi="PT Astra Serif"/>
          <w:bCs/>
          <w:sz w:val="22"/>
          <w:szCs w:val="22"/>
        </w:rPr>
      </w:r>
      <w:r>
        <w:rPr>
          <w:sz w:val="22"/>
          <w:szCs w:val="22"/>
        </w:rPr>
      </w:r>
    </w:p>
    <w:tbl>
      <w:tblPr>
        <w:tblStyle w:val="656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>
        <w:trPr/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483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Приложение 1 к докладу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Мероприятия по снижению рисков нарушения антимонопольного законодательства Администрацией  </w:t>
            </w:r>
            <w:r>
              <w:rPr>
                <w:sz w:val="22"/>
                <w:szCs w:val="22"/>
              </w:rPr>
            </w:r>
          </w:p>
          <w:p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  <w:tbl>
            <w:tblPr>
              <w:tblStyle w:val="656"/>
              <w:tblW w:w="158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5824"/>
              <w:gridCol w:w="2421"/>
              <w:gridCol w:w="2876"/>
              <w:gridCol w:w="4075"/>
            </w:tblGrid>
            <w:tr>
              <w:trPr>
                <w:jc w:val="center"/>
              </w:trPr>
              <w:tc>
                <w:tcPr>
                  <w:tcW w:w="64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  <w:lang w:eastAsia="ru-RU"/>
                    </w:rPr>
                    <w:t xml:space="preserve">п</w:t>
                  </w:r>
                  <w:r>
                    <w:rPr>
                      <w:b/>
                      <w:sz w:val="22"/>
                      <w:szCs w:val="22"/>
                      <w:lang w:eastAsia="ru-RU"/>
                    </w:rPr>
                    <w:t xml:space="preserve">/</w:t>
                  </w:r>
                  <w:r>
                    <w:rPr>
                      <w:b/>
                      <w:sz w:val="22"/>
                      <w:szCs w:val="22"/>
                      <w:lang w:eastAsia="ru-RU"/>
                    </w:rPr>
                    <w:t xml:space="preserve">п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82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 xml:space="preserve">Наименование мероприятия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2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 xml:space="preserve">Срок исполнения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7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 xml:space="preserve">Ответственный исполнитель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07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 xml:space="preserve">Информация об исполнении мероприятия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jc w:val="center"/>
                <w:trHeight w:val="689"/>
              </w:trPr>
              <w:tc>
                <w:tcPr>
                  <w:tcW w:w="640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1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.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824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Взаимодействие с антимонопольным органом по вопросам функционирования в Администрации антимонопольного 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комплаенса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2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постоянно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76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специалист 1 категории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07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постоянно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jc w:val="center"/>
                <w:trHeight w:val="403"/>
              </w:trPr>
              <w:tc>
                <w:tcPr>
                  <w:tcW w:w="640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2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.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824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Подготовка доклада за отчетный год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2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до 25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февраля, следующего за отчетным периодом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7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407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подготовлен в срок до 25 февраля, 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jc w:val="center"/>
                <w:trHeight w:val="726"/>
              </w:trPr>
              <w:tc>
                <w:tcPr>
                  <w:tcW w:w="640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3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.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824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Анализ разработанных проектов нормативных правовых актов в целях выявления рисков нарушения антимонопольного законодательства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2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постоянно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7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407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Риски нарушения антимонопольного законодательства разработанных проектов НПА не выявлены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jc w:val="center"/>
                <w:trHeight w:val="551"/>
              </w:trPr>
              <w:tc>
                <w:tcPr>
                  <w:tcW w:w="640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4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.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824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Организация обучения муниципальных служащих требованиям антимонопольного законодательства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2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 мере необходимости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76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специалист 1 категории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  <w:lang w:eastAsia="ru-RU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07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 мере необходимости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jc w:val="center"/>
                <w:trHeight w:val="222"/>
              </w:trPr>
              <w:tc>
                <w:tcPr>
                  <w:tcW w:w="640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5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.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824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Ознакомление с настоящим Положением: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jc w:val="both"/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- муниципальных служащих;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jc w:val="both"/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- граждан Российской Федерации при поступлении на муниципальную службу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2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постоянно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7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sz w:val="24"/>
                      <w:szCs w:val="24"/>
                      <w:highlight w:val="yellow"/>
                      <w:lang w:eastAsia="ru-RU"/>
                    </w:rPr>
                  </w:r>
                  <w:r/>
                </w:p>
              </w:tc>
              <w:tc>
                <w:tcPr>
                  <w:tcW w:w="407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постоянно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jc w:val="center"/>
                <w:trHeight w:val="70"/>
              </w:trPr>
              <w:tc>
                <w:tcPr>
                  <w:tcW w:w="640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6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.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824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Выявление конфликтов интересов в деятельности муниципальных служащих в части нарушения антимонопольного законодательства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2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постоянно</w:t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7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407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постоянно,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не выявлены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Приложение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№ 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 докладу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auto" w:sz="4" w:space="0"/>
              <w:right w:val="single" w:color="auto" w:sz="6" w:space="0"/>
            </w:tcBorders>
            <w:tcW w:w="565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№ п/п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49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Ключевые показатели эффективности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6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Критерии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Фактическое значение показателя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Оценка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(балл)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49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343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Значение показателя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Оценка (балл)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</w:tr>
      <w:tr>
        <w:trPr>
          <w:trHeight w:val="708"/>
        </w:trPr>
        <w:tc>
          <w:tcPr>
            <w:tcW w:w="565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tcW w:w="4930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both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Факты выдачи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органу местного самоуправления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пре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дупреждения и (или)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решения (предписания) по резуль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  <w:r>
              <w:rPr>
                <w:sz w:val="22"/>
                <w:szCs w:val="22"/>
              </w:rPr>
            </w:r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</w:p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30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30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708"/>
        </w:trPr>
        <w:tc>
          <w:tcPr>
            <w:tcW w:w="565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4930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both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15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08"/>
        </w:trPr>
        <w:tc>
          <w:tcPr>
            <w:tcW w:w="565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4930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both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Более 1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31"/>
        </w:trPr>
        <w:tc>
          <w:tcPr>
            <w:tcW w:w="565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tcW w:w="4930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both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Вступившие в законную силу решения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органа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местного самоуправления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, его должностных лиц ввиду их несоответствия антимонопольному законодательству</w:t>
            </w:r>
            <w:r>
              <w:rPr>
                <w:sz w:val="22"/>
                <w:szCs w:val="22"/>
              </w:rPr>
            </w:r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нет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30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нет</w:t>
            </w: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30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850"/>
        </w:trPr>
        <w:tc>
          <w:tcPr>
            <w:tcW w:w="565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4930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both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менее 15% от числа обжалованных актов, решений и действий (бездействия)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24"/>
        </w:trPr>
        <w:tc>
          <w:tcPr>
            <w:tcW w:w="565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4930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both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15% и более от числа обжалованных а</w:t>
            </w:r>
            <w:bookmarkStart w:id="0" w:name="_GoBack"/>
            <w:r>
              <w:rPr>
                <w:sz w:val="22"/>
                <w:szCs w:val="22"/>
              </w:rPr>
            </w:r>
            <w:bookmarkEnd w:id="0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ктов, решений и действий (бездействия)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88"/>
        </w:trPr>
        <w:tc>
          <w:tcPr>
            <w:tcW w:w="565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tcW w:w="4930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both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Жалобы на решения, действия (бездействие)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органа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местного самоуправления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  <w:r>
              <w:rPr>
                <w:sz w:val="22"/>
                <w:szCs w:val="22"/>
              </w:rPr>
            </w:r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нет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нет</w:t>
            </w: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708"/>
        </w:trPr>
        <w:tc>
          <w:tcPr>
            <w:tcW w:w="565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4930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есть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65"/>
        </w:trPr>
        <w:tc>
          <w:tcPr>
            <w:tcW w:w="565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tcW w:w="4930" w:type="dxa"/>
            <w:vMerge w:val="restart"/>
            <w:textDirection w:val="lrTb"/>
            <w:noWrap w:val="false"/>
          </w:tcPr>
          <w:p>
            <w:pPr>
              <w:pStyle w:val="658"/>
              <w:jc w:val="both"/>
              <w:spacing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Выполнение мероприятий по снижению рисков нарушения антимонопольного законодательства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выполнены все мероприятия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20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690"/>
        </w:trPr>
        <w:tc>
          <w:tcPr>
            <w:tcW w:w="565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4930" w:type="dxa"/>
            <w:vMerge w:val="continue"/>
            <w:textDirection w:val="lrTb"/>
            <w:noWrap w:val="false"/>
          </w:tcPr>
          <w:p>
            <w:pPr>
              <w:pStyle w:val="658"/>
              <w:jc w:val="both"/>
              <w:spacing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невыполнение мероприятий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снижение значения показателя осуществляется пропорционально доле невыполненных мероприятий от общего количества мероприятий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32"/>
        </w:trPr>
        <w:tc>
          <w:tcPr>
            <w:tcW w:w="565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5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tcW w:w="4930" w:type="dxa"/>
            <w:vMerge w:val="restart"/>
            <w:textDirection w:val="lrTb"/>
            <w:noWrap w:val="false"/>
          </w:tcPr>
          <w:p>
            <w:pPr>
              <w:pStyle w:val="658"/>
              <w:jc w:val="both"/>
              <w:spacing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Доля проектов нормативных правовых актов и/или проектов нормативных правовых актов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органа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местного самоуправления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>
              <w:rPr>
                <w:rStyle w:val="659"/>
                <w:rFonts w:ascii="PT Astra Serif" w:hAnsi="PT Astra Serif"/>
                <w:sz w:val="22"/>
                <w:szCs w:val="22"/>
                <w:lang w:eastAsia="ru-RU"/>
              </w:rPr>
              <w:footnoteReference w:id="2"/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 общем количестве проектов нормативных правовых актов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органа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местного самоуправления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, подлежащих прохождению такой процедуры</w:t>
            </w:r>
            <w:r>
              <w:rPr>
                <w:sz w:val="22"/>
                <w:szCs w:val="22"/>
              </w:rPr>
            </w:r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85% и более от всех проектов нормативных правовых актов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ОМСУ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, подлежащих прохождению процедуры «общественного контроля»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vMerge w:val="restart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1032"/>
        </w:trPr>
        <w:tc>
          <w:tcPr>
            <w:tcW w:w="565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4930" w:type="dxa"/>
            <w:vMerge w:val="continue"/>
            <w:textDirection w:val="lrTb"/>
            <w:noWrap w:val="false"/>
          </w:tcPr>
          <w:p>
            <w:pPr>
              <w:pStyle w:val="658"/>
              <w:jc w:val="both"/>
              <w:spacing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менее 85% от всех проектов нормативных правовых актов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ОМСУ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, подлежащих прохождению процедуры «общественного контроля»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1734" w:type="dxa"/>
            <w:vMerge w:val="continue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32"/>
        </w:trPr>
        <w:tc>
          <w:tcPr>
            <w:tcW w:w="5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W w:w="4930" w:type="dxa"/>
            <w:vMerge w:val="continue"/>
            <w:textDirection w:val="lrTb"/>
            <w:noWrap w:val="false"/>
          </w:tcPr>
          <w:p>
            <w:pPr>
              <w:pStyle w:val="658"/>
              <w:jc w:val="both"/>
              <w:spacing w:line="276" w:lineRule="auto"/>
              <w:shd w:val="clear" w:color="auto" w:fill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роекты нормативных правовых актов органа местного самоуправления, подлежащие прохождению процедуры 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«общественного контроля»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, отсутствую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т</w:t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658"/>
              <w:ind w:left="34" w:right="88"/>
              <w:jc w:val="center"/>
              <w:spacing w:before="60" w:line="276" w:lineRule="auto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jc w:val="both"/>
        <w:spacing w:before="135" w:after="360" w:afterAutospacing="1" w:line="240" w:lineRule="auto"/>
        <w:shd w:val="clear" w:color="auto" w:fill="ffffff"/>
        <w:rPr>
          <w:rFonts w:ascii="PT Astra Serif" w:hAnsi="PT Astra Serif"/>
          <w:sz w:val="22"/>
          <w:szCs w:val="22"/>
        </w:rPr>
        <w:sectPr>
          <w:footnotePr/>
          <w:endnotePr/>
          <w:type w:val="nextPage"/>
          <w:pgSz w:w="16838" w:h="11906" w:orient="landscape"/>
          <w:pgMar w:top="709" w:right="567" w:bottom="851" w:left="425" w:header="0" w:footer="0" w:gutter="0"/>
          <w:cols w:num="1" w:sep="0" w:space="708" w:equalWidth="1"/>
          <w:docGrid w:linePitch="360"/>
        </w:sectPr>
      </w:pPr>
      <w:r>
        <w:rPr>
          <w:rFonts w:ascii="PT Astra Serif" w:hAnsi="PT Astra Serif"/>
          <w:sz w:val="22"/>
          <w:szCs w:val="22"/>
        </w:rPr>
      </w:r>
      <w:r>
        <w:rPr>
          <w:sz w:val="22"/>
          <w:szCs w:val="22"/>
        </w:rPr>
      </w:r>
    </w:p>
    <w:p>
      <w:pPr>
        <w:spacing w:after="0"/>
        <w:rPr>
          <w:rFonts w:ascii="PT Astra Serif" w:hAnsi="PT Astra Serif"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w="11906" w:h="16838" w:orient="portrait"/>
      <w:pgMar w:top="567" w:right="851" w:bottom="425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60"/>
        <w:ind w:right="-456"/>
        <w:spacing w:after="24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0"/>
          <w:sz w:val="20"/>
        </w:rPr>
        <w:footnoteRef/>
      </w:r>
      <w:r>
        <w:rPr>
          <w:rFonts w:ascii="PT Astra Serif" w:hAnsi="PT Astra Serif"/>
          <w:b w:val="0"/>
          <w:sz w:val="20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размещение на официальном сайте </w:t>
      </w:r>
      <w:r>
        <w:rPr>
          <w:rFonts w:ascii="PT Astra Serif" w:hAnsi="PT Astra Serif"/>
          <w:b w:val="0"/>
          <w:sz w:val="24"/>
          <w:szCs w:val="24"/>
        </w:rPr>
        <w:t xml:space="preserve">ОМСУ</w:t>
      </w:r>
      <w:r>
        <w:rPr>
          <w:rFonts w:ascii="PT Astra Serif" w:hAnsi="PT Astra Serif"/>
          <w:b w:val="0"/>
          <w:sz w:val="24"/>
          <w:szCs w:val="24"/>
        </w:rPr>
        <w:t xml:space="preserve"> в сети «Интернет» на срок не менее 7 дней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0"/>
    <w:next w:val="65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0"/>
    <w:next w:val="65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0"/>
    <w:next w:val="65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0"/>
    <w:next w:val="65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0"/>
    <w:next w:val="65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0"/>
    <w:next w:val="65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0"/>
    <w:next w:val="65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0"/>
    <w:next w:val="65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0"/>
    <w:next w:val="65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0"/>
    <w:next w:val="65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1"/>
    <w:link w:val="34"/>
    <w:uiPriority w:val="10"/>
    <w:rPr>
      <w:sz w:val="48"/>
      <w:szCs w:val="48"/>
    </w:rPr>
  </w:style>
  <w:style w:type="paragraph" w:styleId="36">
    <w:name w:val="Subtitle"/>
    <w:basedOn w:val="650"/>
    <w:next w:val="65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1"/>
    <w:link w:val="36"/>
    <w:uiPriority w:val="11"/>
    <w:rPr>
      <w:sz w:val="24"/>
      <w:szCs w:val="24"/>
    </w:rPr>
  </w:style>
  <w:style w:type="paragraph" w:styleId="38">
    <w:name w:val="Quote"/>
    <w:basedOn w:val="650"/>
    <w:next w:val="65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0"/>
    <w:next w:val="65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1"/>
    <w:link w:val="42"/>
    <w:uiPriority w:val="99"/>
  </w:style>
  <w:style w:type="paragraph" w:styleId="44">
    <w:name w:val="Footer"/>
    <w:basedOn w:val="65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1"/>
    <w:link w:val="44"/>
    <w:uiPriority w:val="99"/>
  </w:style>
  <w:style w:type="paragraph" w:styleId="46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663"/>
    <w:uiPriority w:val="99"/>
    <w:rPr>
      <w:sz w:val="18"/>
    </w:rPr>
  </w:style>
  <w:style w:type="paragraph" w:styleId="178">
    <w:name w:val="endnote text"/>
    <w:basedOn w:val="65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1"/>
    <w:uiPriority w:val="99"/>
    <w:semiHidden/>
    <w:unhideWhenUsed/>
    <w:rPr>
      <w:vertAlign w:val="superscript"/>
    </w:rPr>
  </w:style>
  <w:style w:type="paragraph" w:styleId="181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Normal (Web)"/>
    <w:basedOn w:val="65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5">
    <w:name w:val="Strong"/>
    <w:basedOn w:val="651"/>
    <w:uiPriority w:val="22"/>
    <w:qFormat/>
    <w:rPr>
      <w:b/>
      <w:bCs/>
    </w:rPr>
  </w:style>
  <w:style w:type="table" w:styleId="656">
    <w:name w:val="Table Grid"/>
    <w:basedOn w:val="652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57" w:customStyle="1">
    <w:name w:val="Основной текст_"/>
    <w:basedOn w:val="651"/>
    <w:link w:val="658"/>
    <w:rPr>
      <w:sz w:val="27"/>
      <w:szCs w:val="27"/>
      <w:shd w:val="clear" w:color="auto" w:fill="ffffff"/>
    </w:rPr>
  </w:style>
  <w:style w:type="paragraph" w:styleId="658" w:customStyle="1">
    <w:name w:val="Основной текст1"/>
    <w:basedOn w:val="650"/>
    <w:link w:val="657"/>
    <w:pPr>
      <w:spacing w:after="0" w:line="0" w:lineRule="atLeast"/>
      <w:shd w:val="clear" w:color="auto" w:fill="ffffff"/>
    </w:pPr>
    <w:rPr>
      <w:sz w:val="27"/>
      <w:szCs w:val="27"/>
    </w:rPr>
  </w:style>
  <w:style w:type="character" w:styleId="659">
    <w:name w:val="footnote reference"/>
    <w:basedOn w:val="651"/>
    <w:uiPriority w:val="99"/>
    <w:semiHidden/>
    <w:unhideWhenUsed/>
    <w:rPr>
      <w:vertAlign w:val="superscript"/>
    </w:rPr>
  </w:style>
  <w:style w:type="paragraph" w:styleId="660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paragraph" w:styleId="661">
    <w:name w:val="Balloon Text"/>
    <w:basedOn w:val="650"/>
    <w:link w:val="66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2" w:customStyle="1">
    <w:name w:val="Текст выноски Знак"/>
    <w:basedOn w:val="651"/>
    <w:link w:val="661"/>
    <w:uiPriority w:val="99"/>
    <w:semiHidden/>
    <w:rPr>
      <w:rFonts w:ascii="Tahoma" w:hAnsi="Tahoma" w:cs="Tahoma"/>
      <w:sz w:val="16"/>
      <w:szCs w:val="16"/>
    </w:rPr>
  </w:style>
  <w:style w:type="paragraph" w:styleId="663">
    <w:name w:val="footnote text"/>
    <w:basedOn w:val="650"/>
    <w:link w:val="66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64" w:customStyle="1">
    <w:name w:val="Текст сноски Знак"/>
    <w:basedOn w:val="651"/>
    <w:link w:val="663"/>
    <w:uiPriority w:val="99"/>
    <w:semiHidden/>
    <w:rPr>
      <w:sz w:val="20"/>
      <w:szCs w:val="20"/>
    </w:rPr>
  </w:style>
  <w:style w:type="paragraph" w:styleId="665">
    <w:name w:val="List Paragraph"/>
    <w:basedOn w:val="65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7CB-9595-41A6-B3A1-2039230F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revision>93</cp:revision>
  <dcterms:created xsi:type="dcterms:W3CDTF">2021-02-05T08:44:00Z</dcterms:created>
  <dcterms:modified xsi:type="dcterms:W3CDTF">2024-01-23T09:23:43Z</dcterms:modified>
</cp:coreProperties>
</file>